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72" w:rsidRPr="001C4872" w:rsidRDefault="001C4872">
      <w:pPr>
        <w:rPr>
          <w:b/>
          <w:sz w:val="28"/>
          <w:szCs w:val="26"/>
        </w:rPr>
      </w:pPr>
      <w:r w:rsidRPr="001C4872">
        <w:rPr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0</wp:posOffset>
            </wp:positionV>
            <wp:extent cx="171450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872" w:rsidRPr="001C4872" w:rsidRDefault="001C4872" w:rsidP="001C4872">
      <w:pPr>
        <w:rPr>
          <w:b/>
          <w:sz w:val="28"/>
          <w:szCs w:val="26"/>
        </w:rPr>
      </w:pPr>
      <w:r w:rsidRPr="001C4872">
        <w:rPr>
          <w:b/>
          <w:sz w:val="28"/>
          <w:szCs w:val="26"/>
        </w:rPr>
        <w:t>Critères d’évaluation - Organismes à double mandat</w:t>
      </w:r>
    </w:p>
    <w:p w:rsidR="001C4872" w:rsidRPr="00A466B1" w:rsidRDefault="001C4872" w:rsidP="001C4872">
      <w:pPr>
        <w:rPr>
          <w:sz w:val="20"/>
          <w:szCs w:val="20"/>
        </w:r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1C4872" w:rsidRPr="00A466B1" w:rsidTr="00A466B1">
        <w:trPr>
          <w:jc w:val="center"/>
        </w:trPr>
        <w:tc>
          <w:tcPr>
            <w:tcW w:w="7938" w:type="dxa"/>
            <w:shd w:val="clear" w:color="auto" w:fill="BDD6EE" w:themeFill="accent1" w:themeFillTint="66"/>
          </w:tcPr>
          <w:p w:rsidR="00A466B1" w:rsidRDefault="00326162" w:rsidP="00A466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Organismes de diffusion et de production</w:t>
            </w:r>
          </w:p>
          <w:p w:rsidR="006468C9" w:rsidRDefault="006468C9" w:rsidP="00A466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et</w:t>
            </w:r>
            <w:proofErr w:type="gramEnd"/>
          </w:p>
          <w:p w:rsidR="006468C9" w:rsidRPr="00A466B1" w:rsidRDefault="006468C9" w:rsidP="00A466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Événements nationaux et internationaux</w:t>
            </w:r>
          </w:p>
        </w:tc>
      </w:tr>
      <w:tr w:rsidR="001C4872" w:rsidRPr="001C4872" w:rsidTr="00A466B1">
        <w:trPr>
          <w:trHeight w:val="1361"/>
          <w:jc w:val="center"/>
        </w:trPr>
        <w:tc>
          <w:tcPr>
            <w:tcW w:w="7938" w:type="dxa"/>
          </w:tcPr>
          <w:p w:rsidR="001C4872" w:rsidRPr="00A466B1" w:rsidRDefault="001C4872" w:rsidP="00A466B1">
            <w:pPr>
              <w:pStyle w:val="Titre4"/>
              <w:shd w:val="clear" w:color="auto" w:fill="FFFFFF"/>
              <w:spacing w:before="120" w:after="240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Cs w:val="20"/>
              </w:rPr>
            </w:pPr>
            <w:r w:rsidRPr="00A466B1">
              <w:rPr>
                <w:rFonts w:asciiTheme="minorHAnsi" w:hAnsiTheme="minorHAnsi" w:cstheme="minorHAnsi"/>
                <w:b/>
                <w:i w:val="0"/>
                <w:color w:val="auto"/>
                <w:szCs w:val="20"/>
              </w:rPr>
              <w:t>1. Acquittement du mandat : 100 %</w:t>
            </w:r>
          </w:p>
          <w:p w:rsidR="00A466B1" w:rsidRPr="00A466B1" w:rsidRDefault="001C4872" w:rsidP="00A466B1">
            <w:pPr>
              <w:pStyle w:val="NormalWeb"/>
              <w:shd w:val="clear" w:color="auto" w:fill="FFFFFF"/>
              <w:spacing w:before="120" w:before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A466B1">
              <w:rPr>
                <w:rFonts w:asciiTheme="minorHAnsi" w:hAnsiTheme="minorHAnsi" w:cstheme="minorHAnsi"/>
                <w:sz w:val="22"/>
                <w:szCs w:val="20"/>
              </w:rPr>
              <w:t>L’évaluation de l’acquittement du mandat tient compte de la mission et du mandat de l’organisme selon les critères suivants :</w:t>
            </w:r>
          </w:p>
        </w:tc>
      </w:tr>
      <w:tr w:rsidR="001C4872" w:rsidRPr="001C4872" w:rsidTr="00A466B1">
        <w:trPr>
          <w:jc w:val="center"/>
        </w:trPr>
        <w:tc>
          <w:tcPr>
            <w:tcW w:w="7938" w:type="dxa"/>
          </w:tcPr>
          <w:p w:rsidR="001C4872" w:rsidRPr="00A466B1" w:rsidRDefault="001C4872" w:rsidP="00A466B1">
            <w:pPr>
              <w:pStyle w:val="Titre5"/>
              <w:numPr>
                <w:ilvl w:val="1"/>
                <w:numId w:val="2"/>
              </w:numPr>
              <w:shd w:val="clear" w:color="auto" w:fill="FFFFFF"/>
              <w:spacing w:before="120"/>
              <w:outlineLvl w:val="4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A466B1">
              <w:rPr>
                <w:rFonts w:asciiTheme="minorHAnsi" w:hAnsiTheme="minorHAnsi" w:cstheme="minorHAnsi"/>
                <w:b/>
                <w:color w:val="auto"/>
                <w:szCs w:val="20"/>
              </w:rPr>
              <w:t>Qualité artistique – 50 %</w:t>
            </w:r>
          </w:p>
          <w:p w:rsidR="00A466B1" w:rsidRPr="00A466B1" w:rsidRDefault="00A466B1" w:rsidP="00A466B1">
            <w:pPr>
              <w:pStyle w:val="Paragraphedeliste"/>
              <w:shd w:val="clear" w:color="auto" w:fill="FFFFFF"/>
              <w:ind w:left="357"/>
              <w:rPr>
                <w:rFonts w:eastAsiaTheme="majorEastAsia" w:cstheme="minorHAnsi"/>
                <w:b/>
                <w:sz w:val="18"/>
                <w:szCs w:val="18"/>
              </w:rPr>
            </w:pP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Clarté de la vision artistique au regard du mandat</w:t>
            </w: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Concordance entre les choix de programmation ou d’activités et la vision artistique</w:t>
            </w: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Qualité artistique des productions antérieures*</w:t>
            </w: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Intérêt des productions et des activités projetées</w:t>
            </w: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Capacité de l’organisme à innover et à faire preuve d’audace artistique en fonction de son mandat, de sa discipline, du public visé et du territoire desservi</w:t>
            </w:r>
          </w:p>
          <w:p w:rsidR="001C4872" w:rsidRPr="00A466B1" w:rsidRDefault="001C4872" w:rsidP="00612C4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 xml:space="preserve">Qualité des conditions d’accueil et de présentation des œuvres </w:t>
            </w:r>
          </w:p>
          <w:p w:rsidR="001C4872" w:rsidRPr="00A466B1" w:rsidRDefault="001C4872" w:rsidP="00A466B1">
            <w:pPr>
              <w:shd w:val="clear" w:color="auto" w:fill="FFFFFF"/>
              <w:spacing w:before="120"/>
              <w:ind w:left="720"/>
              <w:rPr>
                <w:rFonts w:cstheme="minorHAnsi"/>
                <w:sz w:val="16"/>
                <w:szCs w:val="16"/>
              </w:rPr>
            </w:pPr>
          </w:p>
        </w:tc>
      </w:tr>
      <w:tr w:rsidR="001C4872" w:rsidRPr="001C4872" w:rsidTr="00A466B1">
        <w:trPr>
          <w:jc w:val="center"/>
        </w:trPr>
        <w:tc>
          <w:tcPr>
            <w:tcW w:w="7938" w:type="dxa"/>
          </w:tcPr>
          <w:p w:rsidR="001C4872" w:rsidRPr="00A466B1" w:rsidRDefault="001C4872" w:rsidP="00A466B1">
            <w:pPr>
              <w:pStyle w:val="Paragraphedeliste"/>
              <w:numPr>
                <w:ilvl w:val="1"/>
                <w:numId w:val="2"/>
              </w:numPr>
              <w:shd w:val="clear" w:color="auto" w:fill="FFFFFF"/>
              <w:spacing w:before="120"/>
              <w:rPr>
                <w:rFonts w:eastAsiaTheme="majorEastAsia" w:cstheme="minorHAnsi"/>
                <w:b/>
                <w:szCs w:val="20"/>
              </w:rPr>
            </w:pPr>
            <w:r w:rsidRPr="00A466B1">
              <w:rPr>
                <w:rFonts w:eastAsiaTheme="majorEastAsia" w:cstheme="minorHAnsi"/>
                <w:b/>
                <w:szCs w:val="20"/>
              </w:rPr>
              <w:t>Diffusion et rayonnement – 25 %</w:t>
            </w:r>
          </w:p>
          <w:p w:rsidR="001C4872" w:rsidRPr="00A466B1" w:rsidRDefault="001C4872" w:rsidP="00A466B1">
            <w:pPr>
              <w:pStyle w:val="Paragraphedeliste"/>
              <w:shd w:val="clear" w:color="auto" w:fill="FFFFFF"/>
              <w:spacing w:before="120"/>
              <w:ind w:left="357"/>
              <w:rPr>
                <w:rFonts w:eastAsiaTheme="majorEastAsia" w:cstheme="minorHAnsi"/>
                <w:b/>
                <w:szCs w:val="20"/>
              </w:rPr>
            </w:pPr>
          </w:p>
          <w:p w:rsidR="001C4872" w:rsidRPr="00A466B1" w:rsidRDefault="001C4872" w:rsidP="00612C4A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Importance de la fréquentation aux activités de l’organisme en fonction du mandat, de la discipline, du public visé, des lieux utilisés et du territoire desservi</w:t>
            </w:r>
          </w:p>
          <w:p w:rsidR="001C4872" w:rsidRPr="00A466B1" w:rsidRDefault="003B2A72" w:rsidP="00612C4A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</w:t>
            </w:r>
            <w:r w:rsidR="001C4872" w:rsidRPr="00A466B1">
              <w:rPr>
                <w:rFonts w:cstheme="minorHAnsi"/>
                <w:szCs w:val="20"/>
              </w:rPr>
              <w:t>fforts de diversification des publics (notamment : communautés culturelles, linguistiques ou économiques, personnes sourdes ou handicapées)</w:t>
            </w:r>
          </w:p>
          <w:p w:rsidR="001C4872" w:rsidRPr="00A466B1" w:rsidRDefault="001C4872" w:rsidP="00612C4A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Intérêt des activités de médiation et de sensibilisation du public, s’il y a lieu</w:t>
            </w:r>
          </w:p>
          <w:p w:rsidR="001C4872" w:rsidRPr="00A466B1" w:rsidRDefault="001C4872" w:rsidP="00612C4A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Rayonnement, réseaux et partenariats</w:t>
            </w:r>
            <w:r w:rsidR="006468C9">
              <w:rPr>
                <w:rFonts w:cstheme="minorHAnsi"/>
                <w:szCs w:val="20"/>
              </w:rPr>
              <w:t xml:space="preserve"> (événements nationaux et internationaux)</w:t>
            </w:r>
          </w:p>
          <w:p w:rsidR="001C4872" w:rsidRDefault="001C4872" w:rsidP="00612C4A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Apport au territoire (implication et ancrage dans la communauté civique)</w:t>
            </w:r>
          </w:p>
          <w:p w:rsidR="00A466B1" w:rsidRPr="00A466B1" w:rsidRDefault="00A466B1" w:rsidP="00A466B1">
            <w:pPr>
              <w:shd w:val="clear" w:color="auto" w:fill="FFFFFF"/>
              <w:spacing w:before="120"/>
              <w:ind w:left="720"/>
              <w:rPr>
                <w:rFonts w:cstheme="minorHAnsi"/>
                <w:sz w:val="16"/>
                <w:szCs w:val="16"/>
              </w:rPr>
            </w:pPr>
          </w:p>
        </w:tc>
      </w:tr>
      <w:tr w:rsidR="001C4872" w:rsidRPr="001C4872" w:rsidTr="00A466B1">
        <w:trPr>
          <w:jc w:val="center"/>
        </w:trPr>
        <w:tc>
          <w:tcPr>
            <w:tcW w:w="7938" w:type="dxa"/>
          </w:tcPr>
          <w:p w:rsidR="001C4872" w:rsidRPr="00A466B1" w:rsidRDefault="001C4872" w:rsidP="00A466B1">
            <w:pPr>
              <w:pStyle w:val="Paragraphedeliste"/>
              <w:numPr>
                <w:ilvl w:val="1"/>
                <w:numId w:val="2"/>
              </w:numPr>
              <w:spacing w:before="120"/>
              <w:rPr>
                <w:rFonts w:cstheme="minorHAnsi"/>
                <w:b/>
                <w:bCs/>
                <w:szCs w:val="20"/>
              </w:rPr>
            </w:pPr>
            <w:r w:rsidRPr="00A466B1">
              <w:rPr>
                <w:rFonts w:cstheme="minorHAnsi"/>
                <w:b/>
                <w:bCs/>
                <w:szCs w:val="20"/>
              </w:rPr>
              <w:t xml:space="preserve">Contribution à la communauté artistique – 25 % </w:t>
            </w:r>
          </w:p>
          <w:p w:rsidR="001C4872" w:rsidRPr="00A466B1" w:rsidRDefault="001C4872" w:rsidP="00A466B1">
            <w:pPr>
              <w:pStyle w:val="Paragraphedeliste"/>
              <w:spacing w:before="120"/>
              <w:ind w:left="360"/>
              <w:rPr>
                <w:rFonts w:cstheme="minorHAnsi"/>
                <w:b/>
                <w:bCs/>
                <w:szCs w:val="20"/>
              </w:rPr>
            </w:pPr>
          </w:p>
          <w:p w:rsidR="001C4872" w:rsidRPr="00A466B1" w:rsidRDefault="001C4872" w:rsidP="00612C4A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 xml:space="preserve">Actions en faveur de l’intégration des </w:t>
            </w:r>
            <w:r w:rsidR="00326162">
              <w:rPr>
                <w:rFonts w:cstheme="minorHAnsi"/>
                <w:szCs w:val="20"/>
              </w:rPr>
              <w:t xml:space="preserve">écrivaines et écrivains, des conteuses et conteurs </w:t>
            </w:r>
            <w:r w:rsidRPr="00A466B1">
              <w:rPr>
                <w:rFonts w:cstheme="minorHAnsi"/>
                <w:szCs w:val="20"/>
              </w:rPr>
              <w:t>et des</w:t>
            </w:r>
            <w:r w:rsidR="00326162">
              <w:rPr>
                <w:rFonts w:cstheme="minorHAnsi"/>
                <w:szCs w:val="20"/>
              </w:rPr>
              <w:t xml:space="preserve"> artistes</w:t>
            </w:r>
            <w:r w:rsidRPr="00A466B1">
              <w:rPr>
                <w:rFonts w:cstheme="minorHAnsi"/>
                <w:szCs w:val="20"/>
              </w:rPr>
              <w:t xml:space="preserve"> de la relève au milieu professionnel</w:t>
            </w:r>
          </w:p>
          <w:p w:rsidR="001C4872" w:rsidRPr="00A466B1" w:rsidRDefault="001C4872" w:rsidP="00612C4A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Actions en faveur de l’inclusion (</w:t>
            </w:r>
            <w:r w:rsidR="00326162">
              <w:rPr>
                <w:rFonts w:cstheme="minorHAnsi"/>
                <w:szCs w:val="20"/>
              </w:rPr>
              <w:t xml:space="preserve">écrivaines et écrivains, conteuses et conteurs </w:t>
            </w:r>
            <w:r w:rsidRPr="00A466B1">
              <w:rPr>
                <w:rFonts w:cstheme="minorHAnsi"/>
                <w:szCs w:val="20"/>
              </w:rPr>
              <w:t xml:space="preserve">et </w:t>
            </w:r>
            <w:r w:rsidR="00326162">
              <w:rPr>
                <w:rFonts w:cstheme="minorHAnsi"/>
                <w:szCs w:val="20"/>
              </w:rPr>
              <w:t xml:space="preserve">artistes </w:t>
            </w:r>
            <w:r w:rsidRPr="00A466B1">
              <w:rPr>
                <w:rFonts w:cstheme="minorHAnsi"/>
                <w:szCs w:val="20"/>
              </w:rPr>
              <w:t xml:space="preserve">issus de la diversité culturelle ou des communautés des Premières Nations et </w:t>
            </w:r>
            <w:proofErr w:type="spellStart"/>
            <w:r w:rsidRPr="00A466B1">
              <w:rPr>
                <w:rFonts w:cstheme="minorHAnsi"/>
                <w:szCs w:val="20"/>
              </w:rPr>
              <w:t>inuite</w:t>
            </w:r>
            <w:proofErr w:type="spellEnd"/>
            <w:r w:rsidRPr="00A466B1">
              <w:rPr>
                <w:rFonts w:cstheme="minorHAnsi"/>
                <w:szCs w:val="20"/>
              </w:rPr>
              <w:t xml:space="preserve"> ou en situation de handicap)</w:t>
            </w:r>
          </w:p>
          <w:p w:rsidR="001C4872" w:rsidRDefault="001C4872" w:rsidP="00612C4A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Efforts consacrés à la rémunération des</w:t>
            </w:r>
            <w:r w:rsidR="00B7028A">
              <w:rPr>
                <w:rFonts w:cstheme="minorHAnsi"/>
                <w:szCs w:val="20"/>
              </w:rPr>
              <w:t xml:space="preserve"> </w:t>
            </w:r>
            <w:r w:rsidR="00B7028A">
              <w:rPr>
                <w:rFonts w:cstheme="minorHAnsi"/>
                <w:szCs w:val="20"/>
              </w:rPr>
              <w:t>écrivaines et écrivains, des conteuses et conteurs</w:t>
            </w:r>
            <w:r w:rsidR="00B7028A">
              <w:rPr>
                <w:rFonts w:cstheme="minorHAnsi"/>
                <w:szCs w:val="20"/>
              </w:rPr>
              <w:t>, des</w:t>
            </w:r>
            <w:r w:rsidRPr="00A466B1">
              <w:rPr>
                <w:rFonts w:cstheme="minorHAnsi"/>
                <w:szCs w:val="20"/>
              </w:rPr>
              <w:t xml:space="preserve"> artistes et des travailleuses et travailleurs culturels</w:t>
            </w:r>
          </w:p>
          <w:p w:rsidR="00612C4A" w:rsidRDefault="00612C4A" w:rsidP="00612C4A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Contribution au rayonnement national et international des artistes ou des organismes artistiques québécois</w:t>
            </w:r>
          </w:p>
          <w:p w:rsidR="00CA729B" w:rsidRPr="00CA729B" w:rsidRDefault="00CA729B" w:rsidP="00CA729B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Contribution au rayonnement national ou international </w:t>
            </w:r>
            <w:r w:rsidRPr="00A466B1">
              <w:rPr>
                <w:rFonts w:cstheme="minorHAnsi"/>
                <w:szCs w:val="20"/>
              </w:rPr>
              <w:t>des</w:t>
            </w:r>
            <w:r>
              <w:rPr>
                <w:rFonts w:cstheme="minorHAnsi"/>
                <w:szCs w:val="20"/>
              </w:rPr>
              <w:t xml:space="preserve"> artistes, des</w:t>
            </w:r>
            <w:r>
              <w:rPr>
                <w:rFonts w:cstheme="minorHAnsi"/>
                <w:szCs w:val="20"/>
              </w:rPr>
              <w:t xml:space="preserve"> écrivaines et écrivains, des conteuses et conteurs</w:t>
            </w:r>
            <w:r>
              <w:rPr>
                <w:rFonts w:cstheme="minorHAnsi"/>
                <w:szCs w:val="20"/>
              </w:rPr>
              <w:t xml:space="preserve"> ou des organismes artistiques québécois</w:t>
            </w:r>
            <w:bookmarkStart w:id="0" w:name="_GoBack"/>
            <w:bookmarkEnd w:id="0"/>
          </w:p>
          <w:p w:rsidR="001C4872" w:rsidRPr="00A466B1" w:rsidRDefault="001C4872" w:rsidP="00612C4A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rFonts w:cstheme="minorHAnsi"/>
                <w:szCs w:val="20"/>
              </w:rPr>
            </w:pPr>
            <w:r w:rsidRPr="00A466B1">
              <w:rPr>
                <w:rFonts w:cstheme="minorHAnsi"/>
                <w:szCs w:val="20"/>
              </w:rPr>
              <w:t>Contribution au développement d’un secteur d’activité artistique, d’une ou de plusieurs disciplines</w:t>
            </w:r>
          </w:p>
          <w:p w:rsidR="001C4872" w:rsidRPr="00A466B1" w:rsidRDefault="001C4872" w:rsidP="00A466B1">
            <w:pPr>
              <w:pStyle w:val="Paragraphedeliste"/>
              <w:spacing w:before="120"/>
              <w:rPr>
                <w:rFonts w:cstheme="minorHAnsi"/>
                <w:sz w:val="16"/>
                <w:szCs w:val="16"/>
              </w:rPr>
            </w:pPr>
          </w:p>
        </w:tc>
      </w:tr>
    </w:tbl>
    <w:p w:rsidR="001C4872" w:rsidRDefault="001C4872" w:rsidP="00A466B1"/>
    <w:sectPr w:rsidR="001C4872" w:rsidSect="00A466B1">
      <w:pgSz w:w="12240" w:h="15840"/>
      <w:pgMar w:top="851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6D4"/>
    <w:multiLevelType w:val="multilevel"/>
    <w:tmpl w:val="65D64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A37CFF"/>
    <w:multiLevelType w:val="hybridMultilevel"/>
    <w:tmpl w:val="41280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2C65"/>
    <w:multiLevelType w:val="multilevel"/>
    <w:tmpl w:val="C5B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92B3F"/>
    <w:multiLevelType w:val="multilevel"/>
    <w:tmpl w:val="8E9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E37B55"/>
    <w:multiLevelType w:val="hybridMultilevel"/>
    <w:tmpl w:val="74322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2"/>
    <w:rsid w:val="001C4872"/>
    <w:rsid w:val="00326162"/>
    <w:rsid w:val="003B2A72"/>
    <w:rsid w:val="00612C4A"/>
    <w:rsid w:val="006468C9"/>
    <w:rsid w:val="0085755D"/>
    <w:rsid w:val="00884DC8"/>
    <w:rsid w:val="00A466B1"/>
    <w:rsid w:val="00B7028A"/>
    <w:rsid w:val="00CA729B"/>
    <w:rsid w:val="00D9719B"/>
    <w:rsid w:val="00E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5500"/>
  <w15:chartTrackingRefBased/>
  <w15:docId w15:val="{3C6ADCD5-B5EE-49A0-8EE3-A76A6ED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4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C48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C487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1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C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Boulanger</dc:creator>
  <cp:keywords/>
  <dc:description/>
  <cp:lastModifiedBy>Chantal Boulanger</cp:lastModifiedBy>
  <cp:revision>5</cp:revision>
  <dcterms:created xsi:type="dcterms:W3CDTF">2023-10-20T23:49:00Z</dcterms:created>
  <dcterms:modified xsi:type="dcterms:W3CDTF">2023-10-20T23:56:00Z</dcterms:modified>
</cp:coreProperties>
</file>